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19557" w14:textId="16656CDB" w:rsidR="00407AE3" w:rsidRDefault="65580281" w:rsidP="0D80D5E3">
      <w:pPr>
        <w:pStyle w:val="Heading1"/>
        <w:spacing w:before="322" w:after="322"/>
        <w:rPr>
          <w:rFonts w:asciiTheme="minorHAnsi" w:eastAsiaTheme="minorEastAsia" w:hAnsiTheme="minorHAnsi" w:cstheme="minorBidi"/>
          <w:b/>
          <w:bCs/>
          <w:color w:val="auto"/>
          <w:sz w:val="24"/>
          <w:szCs w:val="24"/>
        </w:rPr>
      </w:pPr>
      <w:r w:rsidRPr="00A17715">
        <w:rPr>
          <w:rFonts w:asciiTheme="minorHAnsi" w:eastAsiaTheme="minorEastAsia" w:hAnsiTheme="minorHAnsi" w:cstheme="minorBidi"/>
          <w:b/>
          <w:bCs/>
          <w:color w:val="auto"/>
          <w:sz w:val="24"/>
          <w:szCs w:val="24"/>
        </w:rPr>
        <w:t>Terms &amp; Conditions</w:t>
      </w:r>
      <w:r w:rsidR="3F7061E6" w:rsidRPr="00A17715">
        <w:rPr>
          <w:rFonts w:asciiTheme="minorHAnsi" w:eastAsiaTheme="minorEastAsia" w:hAnsiTheme="minorHAnsi" w:cstheme="minorBidi"/>
          <w:b/>
          <w:bCs/>
          <w:color w:val="auto"/>
          <w:sz w:val="24"/>
          <w:szCs w:val="24"/>
        </w:rPr>
        <w:t xml:space="preserve"> </w:t>
      </w:r>
      <w:r w:rsidR="0021292E">
        <w:rPr>
          <w:rFonts w:asciiTheme="minorHAnsi" w:eastAsiaTheme="minorEastAsia" w:hAnsiTheme="minorHAnsi" w:cstheme="minorBidi"/>
          <w:b/>
          <w:bCs/>
          <w:color w:val="auto"/>
          <w:sz w:val="24"/>
          <w:szCs w:val="24"/>
        </w:rPr>
        <w:t>–</w:t>
      </w:r>
      <w:r w:rsidR="00A03081">
        <w:rPr>
          <w:rFonts w:asciiTheme="minorHAnsi" w:eastAsiaTheme="minorEastAsia" w:hAnsiTheme="minorHAnsi" w:cstheme="minorBidi"/>
          <w:b/>
          <w:bCs/>
          <w:color w:val="auto"/>
          <w:sz w:val="24"/>
          <w:szCs w:val="24"/>
        </w:rPr>
        <w:t xml:space="preserve"> </w:t>
      </w:r>
      <w:r w:rsidR="0021292E">
        <w:rPr>
          <w:rFonts w:asciiTheme="minorHAnsi" w:eastAsiaTheme="minorEastAsia" w:hAnsiTheme="minorHAnsi" w:cstheme="minorBidi"/>
          <w:b/>
          <w:bCs/>
          <w:color w:val="auto"/>
          <w:sz w:val="24"/>
          <w:szCs w:val="24"/>
        </w:rPr>
        <w:t>James Brown &amp; Sons</w:t>
      </w:r>
      <w:r w:rsidR="00B5418F" w:rsidRPr="00A17715">
        <w:rPr>
          <w:rFonts w:asciiTheme="minorHAnsi" w:eastAsiaTheme="minorEastAsia" w:hAnsiTheme="minorHAnsi" w:cstheme="minorBidi"/>
          <w:b/>
          <w:bCs/>
          <w:color w:val="auto"/>
          <w:sz w:val="24"/>
          <w:szCs w:val="24"/>
        </w:rPr>
        <w:t xml:space="preserve"> </w:t>
      </w:r>
      <w:r w:rsidR="3F7061E6" w:rsidRPr="00A17715">
        <w:rPr>
          <w:rFonts w:asciiTheme="minorHAnsi" w:eastAsiaTheme="minorEastAsia" w:hAnsiTheme="minorHAnsi" w:cstheme="minorBidi"/>
          <w:b/>
          <w:bCs/>
          <w:color w:val="auto"/>
          <w:sz w:val="24"/>
          <w:szCs w:val="24"/>
        </w:rPr>
        <w:t>Community Funds</w:t>
      </w:r>
      <w:r w:rsidR="3F7061E6" w:rsidRPr="0D80D5E3">
        <w:rPr>
          <w:rFonts w:asciiTheme="minorHAnsi" w:eastAsiaTheme="minorEastAsia" w:hAnsiTheme="minorHAnsi" w:cstheme="minorBidi"/>
          <w:b/>
          <w:bCs/>
          <w:color w:val="auto"/>
          <w:sz w:val="24"/>
          <w:szCs w:val="24"/>
        </w:rPr>
        <w:t xml:space="preserve"> </w:t>
      </w:r>
    </w:p>
    <w:p w14:paraId="122DBFFD" w14:textId="77777777" w:rsidR="00B5418F" w:rsidRPr="008C0FD4" w:rsidRDefault="00B5418F" w:rsidP="00B5418F">
      <w:pPr>
        <w:rPr>
          <w:b/>
          <w:bCs/>
        </w:rPr>
      </w:pPr>
      <w:r w:rsidRPr="008C0FD4">
        <w:rPr>
          <w:b/>
          <w:bCs/>
        </w:rPr>
        <w:t xml:space="preserve">Equality of Opportunity </w:t>
      </w:r>
    </w:p>
    <w:p w14:paraId="002AFC7F" w14:textId="77777777" w:rsidR="00B5418F" w:rsidRPr="00182949" w:rsidRDefault="00B5418F" w:rsidP="00B5418F">
      <w:pPr>
        <w:pStyle w:val="ListParagraph"/>
        <w:numPr>
          <w:ilvl w:val="1"/>
          <w:numId w:val="5"/>
        </w:numPr>
        <w:spacing w:before="240" w:after="240"/>
      </w:pPr>
      <w:r w:rsidRPr="00182949">
        <w:t>In Northern Ireland, applicants must comply with all applicable equality legislation, including, but not limited to, the Employment Equality (Age) Regulations (NI) 2006, Disability Discrimination Act 1995, Sex Discrimination (NI) Order 1976, Equal Pay Act (NI) 1970, Race Relations (NI) Order 1997, Fair Employment &amp; Treatment (NI) Order 1998, Employment Equality (Sexual Orientation) Regulations (NI) 2003, as amended, and associated Codes of Practice.</w:t>
      </w:r>
    </w:p>
    <w:p w14:paraId="0C25455E" w14:textId="77777777" w:rsidR="00B5418F" w:rsidRPr="00182949" w:rsidRDefault="00B5418F" w:rsidP="00B5418F">
      <w:pPr>
        <w:pStyle w:val="ListParagraph"/>
        <w:numPr>
          <w:ilvl w:val="1"/>
          <w:numId w:val="5"/>
        </w:numPr>
        <w:spacing w:before="240" w:after="240"/>
      </w:pPr>
      <w:r>
        <w:t>In</w:t>
      </w:r>
      <w:r w:rsidRPr="00182949">
        <w:t xml:space="preserve"> England, Scotland &amp; Wales, applicants must comply with the Equality Act 2010, as amended, and all associated Codes of Practice.</w:t>
      </w:r>
    </w:p>
    <w:p w14:paraId="0CE2E797" w14:textId="77777777" w:rsidR="00B5418F" w:rsidRPr="00182949" w:rsidRDefault="00B5418F" w:rsidP="00B5418F">
      <w:pPr>
        <w:pStyle w:val="ListParagraph"/>
        <w:numPr>
          <w:ilvl w:val="1"/>
          <w:numId w:val="5"/>
        </w:numPr>
        <w:spacing w:before="240" w:after="240"/>
      </w:pPr>
      <w:r w:rsidRPr="00182949">
        <w:t xml:space="preserve">Applicants must ensure that their activities do not unlawfully discriminate against protected groups, </w:t>
      </w:r>
      <w:proofErr w:type="gramStart"/>
      <w:r w:rsidRPr="00182949">
        <w:t>including:</w:t>
      </w:r>
      <w:proofErr w:type="gramEnd"/>
      <w:r w:rsidRPr="00182949">
        <w:t xml:space="preserve"> age, disability, race, religion or belief, sex, sexual orientation, gender reassignment, pregnancy and maternity, and marriage and civil partnership.</w:t>
      </w:r>
    </w:p>
    <w:p w14:paraId="77DB55CC" w14:textId="77777777" w:rsidR="00B5418F" w:rsidRPr="00182949" w:rsidRDefault="00B5418F" w:rsidP="00B5418F">
      <w:pPr>
        <w:pStyle w:val="ListParagraph"/>
        <w:numPr>
          <w:ilvl w:val="1"/>
          <w:numId w:val="5"/>
        </w:numPr>
        <w:spacing w:before="240" w:after="240"/>
      </w:pPr>
      <w:r w:rsidRPr="00182949">
        <w:t>Funded organisations must demonstrate commitment to:</w:t>
      </w:r>
    </w:p>
    <w:p w14:paraId="34776EC5" w14:textId="77777777" w:rsidR="00B5418F" w:rsidRPr="00182949" w:rsidRDefault="00B5418F" w:rsidP="00B5418F">
      <w:pPr>
        <w:pStyle w:val="ListParagraph"/>
        <w:numPr>
          <w:ilvl w:val="0"/>
          <w:numId w:val="1"/>
        </w:numPr>
        <w:spacing w:before="240" w:after="240"/>
      </w:pPr>
      <w:r w:rsidRPr="00182949">
        <w:t>Eliminating discrimination</w:t>
      </w:r>
    </w:p>
    <w:p w14:paraId="64E151A8" w14:textId="77777777" w:rsidR="00B5418F" w:rsidRPr="00182949" w:rsidRDefault="00B5418F" w:rsidP="00B5418F">
      <w:pPr>
        <w:pStyle w:val="ListParagraph"/>
        <w:numPr>
          <w:ilvl w:val="0"/>
          <w:numId w:val="1"/>
        </w:numPr>
        <w:spacing w:before="240" w:after="240"/>
      </w:pPr>
      <w:r w:rsidRPr="00182949">
        <w:t>Advancing equality of opportunity</w:t>
      </w:r>
    </w:p>
    <w:p w14:paraId="33068EEC" w14:textId="77777777" w:rsidR="00B5418F" w:rsidRPr="00182949" w:rsidRDefault="00B5418F" w:rsidP="00B5418F">
      <w:pPr>
        <w:pStyle w:val="ListParagraph"/>
        <w:numPr>
          <w:ilvl w:val="0"/>
          <w:numId w:val="1"/>
        </w:numPr>
        <w:spacing w:before="240" w:after="0"/>
      </w:pPr>
      <w:r w:rsidRPr="00182949">
        <w:t>Fostering good relations across protected characteristics</w:t>
      </w:r>
    </w:p>
    <w:p w14:paraId="30114BF4" w14:textId="26A8405D" w:rsidR="00407AE3" w:rsidRDefault="00B5418F" w:rsidP="0D80D5E3">
      <w:pPr>
        <w:pStyle w:val="ListParagraph"/>
        <w:numPr>
          <w:ilvl w:val="1"/>
          <w:numId w:val="5"/>
        </w:numPr>
        <w:spacing w:before="240" w:after="0"/>
      </w:pPr>
      <w:r w:rsidRPr="00182949">
        <w:t>All applicants must submit an Equality, Diversity &amp; Inclusion (EDI) Statement as part of their application.</w:t>
      </w:r>
    </w:p>
    <w:p w14:paraId="64227CE5" w14:textId="08D007E8"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2. Funding Decision Process</w:t>
      </w:r>
    </w:p>
    <w:p w14:paraId="1CB40200" w14:textId="322CECEE" w:rsidR="00407AE3" w:rsidRDefault="65580281" w:rsidP="0D80D5E3">
      <w:pPr>
        <w:spacing w:before="240" w:after="240"/>
      </w:pPr>
      <w:r w:rsidRPr="0D80D5E3">
        <w:t>2.1 All applications will be assessed against the published funding criteria and considered alongside other applications received within the relevant funding window.</w:t>
      </w:r>
    </w:p>
    <w:p w14:paraId="2E90D581" w14:textId="05457873" w:rsidR="00407AE3" w:rsidRDefault="65580281" w:rsidP="0D80D5E3">
      <w:pPr>
        <w:spacing w:before="240" w:after="240"/>
      </w:pPr>
      <w:r w:rsidRPr="0D80D5E3">
        <w:t xml:space="preserve">2.2 In determining awards, </w:t>
      </w:r>
      <w:r w:rsidR="001E7E10">
        <w:t>James Brown &amp; Sons</w:t>
      </w:r>
      <w:r w:rsidRPr="0D80D5E3">
        <w:t xml:space="preserve"> </w:t>
      </w:r>
      <w:r w:rsidR="00A03081">
        <w:t xml:space="preserve">Funeral Directors </w:t>
      </w:r>
      <w:r w:rsidRPr="0D80D5E3">
        <w:t>will consider (but not be limited to):</w:t>
      </w:r>
    </w:p>
    <w:p w14:paraId="4D652982" w14:textId="28EF5A77" w:rsidR="00407AE3" w:rsidRDefault="65580281" w:rsidP="0D80D5E3">
      <w:pPr>
        <w:pStyle w:val="ListParagraph"/>
        <w:numPr>
          <w:ilvl w:val="0"/>
          <w:numId w:val="4"/>
        </w:numPr>
        <w:spacing w:before="240" w:after="240"/>
      </w:pPr>
      <w:r w:rsidRPr="0D80D5E3">
        <w:t>The extent to which the project addresses deprivation or disadvantage.</w:t>
      </w:r>
    </w:p>
    <w:p w14:paraId="69D82A5E" w14:textId="1418A4E1" w:rsidR="00407AE3" w:rsidRDefault="65580281" w:rsidP="0D80D5E3">
      <w:pPr>
        <w:pStyle w:val="ListParagraph"/>
        <w:numPr>
          <w:ilvl w:val="0"/>
          <w:numId w:val="4"/>
        </w:numPr>
        <w:spacing w:before="240" w:after="240"/>
      </w:pPr>
      <w:r w:rsidRPr="0D80D5E3">
        <w:t>The applicant’s experience, capacity, and track record in delivering support to deprived or vulnerable groups.</w:t>
      </w:r>
    </w:p>
    <w:p w14:paraId="2D3F4F41" w14:textId="715D23BB" w:rsidR="00407AE3" w:rsidRDefault="65580281" w:rsidP="0D80D5E3">
      <w:pPr>
        <w:spacing w:before="240" w:after="240"/>
      </w:pPr>
      <w:r w:rsidRPr="0D80D5E3">
        <w:lastRenderedPageBreak/>
        <w:t xml:space="preserve">2.3 Decisions are made at the sole discretion of </w:t>
      </w:r>
      <w:r w:rsidR="001E7E10">
        <w:t>James Brown &amp; Sons</w:t>
      </w:r>
      <w:r w:rsidR="00A03081">
        <w:t xml:space="preserve"> Funeral Directors</w:t>
      </w:r>
      <w:r w:rsidRPr="0D80D5E3">
        <w:t>. All decisions are final and cannot be challenged or appealed.</w:t>
      </w:r>
    </w:p>
    <w:p w14:paraId="2E4A6D91" w14:textId="5A786A48" w:rsidR="00407AE3" w:rsidRDefault="65580281" w:rsidP="0D80D5E3">
      <w:pPr>
        <w:spacing w:before="240" w:after="240"/>
      </w:pPr>
      <w:r w:rsidRPr="0D80D5E3">
        <w:t>2.4 Applicants who are unsuccessful may reapply in a later funding window. Applicants who receive funding may not reapply within the same calendar year.</w:t>
      </w:r>
    </w:p>
    <w:p w14:paraId="0CA26825" w14:textId="6FBC0AFA" w:rsidR="00407AE3" w:rsidRDefault="65580281" w:rsidP="001E7E10">
      <w:pPr>
        <w:spacing w:before="240" w:after="240"/>
      </w:pPr>
      <w:r w:rsidRPr="0D80D5E3">
        <w:t xml:space="preserve">2.5 The award of funding does not constitute endorsement, affiliation, or recommendation of the applicant’s services or activities by </w:t>
      </w:r>
      <w:r w:rsidR="001E7E10">
        <w:t xml:space="preserve">James Brown &amp; Sons </w:t>
      </w:r>
      <w:r w:rsidR="00A03081">
        <w:t>Funeral Directors</w:t>
      </w:r>
    </w:p>
    <w:p w14:paraId="57376F45" w14:textId="3C310D79"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3. Grant Use and Financial Requirements</w:t>
      </w:r>
    </w:p>
    <w:p w14:paraId="4AA5D694" w14:textId="05FE6BA0" w:rsidR="00407AE3" w:rsidRDefault="65580281" w:rsidP="0D80D5E3">
      <w:pPr>
        <w:spacing w:before="240" w:after="240"/>
      </w:pPr>
      <w:r w:rsidRPr="0D80D5E3">
        <w:t xml:space="preserve">3.1 Successful applicants must expend the full value of the grant within </w:t>
      </w:r>
      <w:r w:rsidRPr="0D80D5E3">
        <w:rPr>
          <w:b/>
          <w:bCs/>
        </w:rPr>
        <w:t>three (3) months</w:t>
      </w:r>
      <w:r w:rsidRPr="0D80D5E3">
        <w:t xml:space="preserve"> of the date of the award letter.</w:t>
      </w:r>
    </w:p>
    <w:p w14:paraId="27E59A2B" w14:textId="32F827C0" w:rsidR="00407AE3" w:rsidRDefault="65580281" w:rsidP="0D80D5E3">
      <w:pPr>
        <w:spacing w:before="240" w:after="240"/>
      </w:pPr>
      <w:r w:rsidRPr="0D80D5E3">
        <w:t xml:space="preserve">3.2 Funds must be used solely for the purposes outlined in the approved application. Any deviation must receive prior written approval from </w:t>
      </w:r>
      <w:r w:rsidR="001E7E10">
        <w:t>James Brown &amp; Sons</w:t>
      </w:r>
      <w:r w:rsidR="00A03081">
        <w:t xml:space="preserve"> Funeral Directors</w:t>
      </w:r>
      <w:r w:rsidR="00A17715">
        <w:t>.</w:t>
      </w:r>
    </w:p>
    <w:p w14:paraId="77A05402" w14:textId="11A16152" w:rsidR="00407AE3" w:rsidRDefault="65580281" w:rsidP="0D80D5E3">
      <w:pPr>
        <w:spacing w:before="240" w:after="240"/>
      </w:pPr>
      <w:r w:rsidRPr="0D80D5E3">
        <w:t xml:space="preserve">3.3 Unspent or misapplied funds may be subject to recovery. </w:t>
      </w:r>
      <w:r w:rsidR="001E7E10">
        <w:t>James Brown &amp; Sons</w:t>
      </w:r>
      <w:r w:rsidR="00A17715">
        <w:t xml:space="preserve"> </w:t>
      </w:r>
      <w:r w:rsidR="00A03081">
        <w:t xml:space="preserve">Funeral Directors </w:t>
      </w:r>
      <w:r w:rsidRPr="0D80D5E3">
        <w:t>reserves the right to request repayment in full or in part.</w:t>
      </w:r>
    </w:p>
    <w:p w14:paraId="06712D3F" w14:textId="736830A2" w:rsidR="00407AE3" w:rsidRDefault="65580281" w:rsidP="00B5418F">
      <w:pPr>
        <w:spacing w:before="240" w:after="240"/>
      </w:pPr>
      <w:r w:rsidRPr="0D80D5E3">
        <w:t>3.4 Applicants must maintain accurate financial records for all expenditure relating to the grant and make these available upon request.</w:t>
      </w:r>
    </w:p>
    <w:p w14:paraId="64EA9771" w14:textId="63EF3A50"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4. Monitoring, Reporting, and Compliance</w:t>
      </w:r>
    </w:p>
    <w:p w14:paraId="5BEEDAB0" w14:textId="74F549BF" w:rsidR="00407AE3" w:rsidRDefault="65580281" w:rsidP="0D80D5E3">
      <w:pPr>
        <w:spacing w:before="240" w:after="240"/>
      </w:pPr>
      <w:r w:rsidRPr="0D80D5E3">
        <w:t xml:space="preserve">4.1 </w:t>
      </w:r>
      <w:r w:rsidR="001E7E10">
        <w:t>James Brown &amp; Sons</w:t>
      </w:r>
      <w:r w:rsidR="00A17715">
        <w:t xml:space="preserve"> </w:t>
      </w:r>
      <w:r w:rsidR="00A03081">
        <w:t xml:space="preserve">Funeral Directors </w:t>
      </w:r>
      <w:r w:rsidRPr="0D80D5E3">
        <w:t>will conduct monitoring activities, which may include:</w:t>
      </w:r>
    </w:p>
    <w:p w14:paraId="268713E7" w14:textId="38BB88EB" w:rsidR="00407AE3" w:rsidRDefault="65580281" w:rsidP="0D80D5E3">
      <w:pPr>
        <w:pStyle w:val="ListParagraph"/>
        <w:numPr>
          <w:ilvl w:val="0"/>
          <w:numId w:val="3"/>
        </w:numPr>
        <w:spacing w:before="240" w:after="240"/>
      </w:pPr>
      <w:r w:rsidRPr="0D80D5E3">
        <w:t>Follow‑up visits between one and three months after the award;</w:t>
      </w:r>
    </w:p>
    <w:p w14:paraId="36A050CD" w14:textId="474FA17B" w:rsidR="00407AE3" w:rsidRDefault="65580281" w:rsidP="0D80D5E3">
      <w:pPr>
        <w:pStyle w:val="ListParagraph"/>
        <w:numPr>
          <w:ilvl w:val="0"/>
          <w:numId w:val="3"/>
        </w:numPr>
        <w:spacing w:before="240" w:after="240"/>
      </w:pPr>
      <w:r w:rsidRPr="0D80D5E3">
        <w:t>Requests for financial or activity reports;</w:t>
      </w:r>
    </w:p>
    <w:p w14:paraId="59D6ED43" w14:textId="7AF4384E" w:rsidR="00407AE3" w:rsidRDefault="65580281" w:rsidP="0D80D5E3">
      <w:pPr>
        <w:pStyle w:val="ListParagraph"/>
        <w:numPr>
          <w:ilvl w:val="0"/>
          <w:numId w:val="3"/>
        </w:numPr>
        <w:spacing w:before="240" w:after="240"/>
      </w:pPr>
      <w:r w:rsidRPr="0D80D5E3">
        <w:t>Verification of safeguarding and insurance documentation.</w:t>
      </w:r>
    </w:p>
    <w:p w14:paraId="0A474C48" w14:textId="401786AF" w:rsidR="00407AE3" w:rsidRDefault="65580281" w:rsidP="0D80D5E3">
      <w:pPr>
        <w:spacing w:before="240" w:after="240"/>
      </w:pPr>
      <w:r w:rsidRPr="0D80D5E3">
        <w:t>4.2 Applicants must cooperate fully with all monitoring, evaluation, and verification processes.</w:t>
      </w:r>
    </w:p>
    <w:p w14:paraId="41C63CE2" w14:textId="0FD5EC41" w:rsidR="00407AE3" w:rsidRDefault="65580281" w:rsidP="0D80D5E3">
      <w:pPr>
        <w:spacing w:before="240" w:after="240"/>
      </w:pPr>
      <w:r w:rsidRPr="0D80D5E3">
        <w:t>4.3 Failure to comply with monitoring requirements may result in withdrawal of funding or a request for repayment.</w:t>
      </w:r>
    </w:p>
    <w:p w14:paraId="779037B8" w14:textId="77777777" w:rsidR="005F25DB" w:rsidRPr="005F25DB" w:rsidRDefault="005F25DB" w:rsidP="005F25DB">
      <w:pPr>
        <w:spacing w:before="240" w:after="240"/>
      </w:pPr>
      <w:r w:rsidRPr="005F25DB">
        <w:rPr>
          <w:b/>
          <w:bCs/>
        </w:rPr>
        <w:lastRenderedPageBreak/>
        <w:t>5. Award Presentation Requirement</w:t>
      </w:r>
    </w:p>
    <w:p w14:paraId="72B685A7" w14:textId="77777777" w:rsidR="005F25DB" w:rsidRPr="005F25DB" w:rsidRDefault="005F25DB" w:rsidP="005F25DB">
      <w:pPr>
        <w:spacing w:before="240" w:after="240"/>
      </w:pPr>
      <w:r w:rsidRPr="005F25DB">
        <w:t xml:space="preserve">5.1 As a condition of receiving funding, at least one authorised representative of the applicant organisation </w:t>
      </w:r>
      <w:r w:rsidRPr="005F25DB">
        <w:rPr>
          <w:b/>
          <w:bCs/>
        </w:rPr>
        <w:t>must attend the official Award Presentation Event in person</w:t>
      </w:r>
      <w:r w:rsidRPr="005F25DB">
        <w:t>.</w:t>
      </w:r>
    </w:p>
    <w:p w14:paraId="5F324297" w14:textId="77777777" w:rsidR="005F25DB" w:rsidRPr="005F25DB" w:rsidRDefault="005F25DB" w:rsidP="005F25DB">
      <w:pPr>
        <w:spacing w:before="240" w:after="240"/>
      </w:pPr>
      <w:r w:rsidRPr="005F25DB">
        <w:t xml:space="preserve">5.2 Failure to attend the event </w:t>
      </w:r>
      <w:r w:rsidRPr="005F25DB">
        <w:rPr>
          <w:b/>
          <w:bCs/>
        </w:rPr>
        <w:t>will result in the withdrawal of the funding offer</w:t>
      </w:r>
      <w:r w:rsidRPr="005F25DB">
        <w:t>, unless prior written agreement has been granted due to extenuating circumstances.</w:t>
      </w:r>
    </w:p>
    <w:p w14:paraId="26317C7D" w14:textId="6CC35AF4" w:rsidR="005F25DB" w:rsidRPr="005F25DB" w:rsidRDefault="005F25DB" w:rsidP="005F25DB">
      <w:pPr>
        <w:spacing w:before="240" w:after="240"/>
      </w:pPr>
      <w:r w:rsidRPr="005F25DB">
        <w:t xml:space="preserve">5.3 Extenuating circumstances may include, but are not limited to, medical emergencies, bereavement, or other significant unforeseen events. </w:t>
      </w:r>
      <w:r w:rsidR="001E7E10">
        <w:t>James Brown &amp; Sons</w:t>
      </w:r>
      <w:r w:rsidR="00A17715">
        <w:t xml:space="preserve"> </w:t>
      </w:r>
      <w:r w:rsidR="00A03081">
        <w:t xml:space="preserve">Funeral Directors </w:t>
      </w:r>
      <w:r w:rsidR="00A17715">
        <w:t>r</w:t>
      </w:r>
      <w:r w:rsidRPr="005F25DB">
        <w:t>eserves the right to determine what constitutes valid extenuating circumstances.</w:t>
      </w:r>
    </w:p>
    <w:p w14:paraId="10A66A4C" w14:textId="0A18922D" w:rsidR="00407AE3" w:rsidRDefault="005F25DB" w:rsidP="005F25DB">
      <w:pPr>
        <w:spacing w:before="240" w:after="240"/>
      </w:pPr>
      <w:r w:rsidRPr="005F25DB">
        <w:t xml:space="preserve">5.4 Where extenuating circumstances are accepted, </w:t>
      </w:r>
      <w:r w:rsidR="001E7E10">
        <w:t>James Brown &amp; Sons</w:t>
      </w:r>
      <w:r w:rsidR="00A17715">
        <w:t xml:space="preserve"> </w:t>
      </w:r>
      <w:r w:rsidR="00A03081">
        <w:t xml:space="preserve">Funeral Directors </w:t>
      </w:r>
      <w:r w:rsidRPr="005F25DB">
        <w:t>may arrange an alternative attendance method or reschedule the presentation at its discretion.</w:t>
      </w:r>
    </w:p>
    <w:p w14:paraId="70A035C9" w14:textId="09721544" w:rsidR="00407AE3" w:rsidRDefault="005F25DB" w:rsidP="0D80D5E3">
      <w:pPr>
        <w:pStyle w:val="Heading2"/>
        <w:spacing w:before="299" w:after="299"/>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t>6</w:t>
      </w:r>
      <w:r w:rsidR="65580281" w:rsidRPr="0D80D5E3">
        <w:rPr>
          <w:rFonts w:asciiTheme="minorHAnsi" w:eastAsiaTheme="minorEastAsia" w:hAnsiTheme="minorHAnsi" w:cstheme="minorBidi"/>
          <w:b/>
          <w:bCs/>
          <w:color w:val="auto"/>
          <w:sz w:val="24"/>
          <w:szCs w:val="24"/>
        </w:rPr>
        <w:t>. Publicity and Communications</w:t>
      </w:r>
    </w:p>
    <w:p w14:paraId="400277DF" w14:textId="54E0D6F8" w:rsidR="00407AE3" w:rsidRDefault="005F25DB" w:rsidP="0D80D5E3">
      <w:pPr>
        <w:spacing w:before="240" w:after="240"/>
      </w:pPr>
      <w:r>
        <w:t>6</w:t>
      </w:r>
      <w:r w:rsidR="65580281" w:rsidRPr="0D80D5E3">
        <w:t xml:space="preserve">.1 With the applicant’s prior consent, </w:t>
      </w:r>
      <w:r w:rsidR="001E7E10">
        <w:t>James Brown &amp; Sons</w:t>
      </w:r>
      <w:r w:rsidR="65580281" w:rsidRPr="0D80D5E3">
        <w:t xml:space="preserve"> </w:t>
      </w:r>
      <w:r w:rsidR="00A03081">
        <w:t xml:space="preserve">Funeral Directors </w:t>
      </w:r>
      <w:r w:rsidR="65580281" w:rsidRPr="0D80D5E3">
        <w:t>may:</w:t>
      </w:r>
    </w:p>
    <w:p w14:paraId="493B469F" w14:textId="13078532" w:rsidR="00407AE3" w:rsidRDefault="65580281" w:rsidP="0D80D5E3">
      <w:pPr>
        <w:pStyle w:val="ListParagraph"/>
        <w:numPr>
          <w:ilvl w:val="0"/>
          <w:numId w:val="2"/>
        </w:numPr>
        <w:spacing w:before="240" w:after="240"/>
      </w:pPr>
      <w:r w:rsidRPr="0D80D5E3">
        <w:t>Publicise the award on social media, websites, or printed materials;</w:t>
      </w:r>
    </w:p>
    <w:p w14:paraId="627260BD" w14:textId="6CFF0251" w:rsidR="00407AE3" w:rsidRDefault="65580281" w:rsidP="0D80D5E3">
      <w:pPr>
        <w:pStyle w:val="ListParagraph"/>
        <w:numPr>
          <w:ilvl w:val="0"/>
          <w:numId w:val="2"/>
        </w:numPr>
        <w:spacing w:before="240" w:after="240"/>
      </w:pPr>
      <w:r w:rsidRPr="0D80D5E3">
        <w:t>Publish photographs, interviews, quotes, or case studies relating to the funded activity.</w:t>
      </w:r>
    </w:p>
    <w:p w14:paraId="17CB4163" w14:textId="0C23EAC6" w:rsidR="00407AE3" w:rsidRDefault="005F25DB" w:rsidP="0D80D5E3">
      <w:pPr>
        <w:spacing w:before="240" w:after="240"/>
      </w:pPr>
      <w:r>
        <w:t>6</w:t>
      </w:r>
      <w:r w:rsidR="65580281" w:rsidRPr="0D80D5E3">
        <w:t>.2 Applicants agree to provide reasonable cooperation for publicity purposes where consent is granted.</w:t>
      </w:r>
    </w:p>
    <w:p w14:paraId="054EF226" w14:textId="7417E314" w:rsidR="00407AE3" w:rsidRDefault="005F25DB" w:rsidP="00B5418F">
      <w:pPr>
        <w:spacing w:before="240" w:after="240"/>
      </w:pPr>
      <w:r>
        <w:t>6</w:t>
      </w:r>
      <w:r w:rsidR="65580281" w:rsidRPr="0D80D5E3">
        <w:t xml:space="preserve">.3 Applicants may not use the </w:t>
      </w:r>
      <w:r w:rsidR="001E7E10">
        <w:t>James Brown &amp; Sons</w:t>
      </w:r>
      <w:r w:rsidR="65580281" w:rsidRPr="0D80D5E3">
        <w:t xml:space="preserve"> </w:t>
      </w:r>
      <w:r w:rsidR="00A03081">
        <w:t xml:space="preserve">Community Fund </w:t>
      </w:r>
      <w:r w:rsidR="65580281" w:rsidRPr="0D80D5E3">
        <w:t>name, logo, or branding without explicit written permission.</w:t>
      </w:r>
    </w:p>
    <w:p w14:paraId="7438BCB9" w14:textId="3DE27C96" w:rsidR="00407AE3" w:rsidRDefault="005F25DB" w:rsidP="0D80D5E3">
      <w:pPr>
        <w:pStyle w:val="Heading2"/>
        <w:spacing w:before="299" w:after="299"/>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t>7</w:t>
      </w:r>
      <w:r w:rsidR="65580281" w:rsidRPr="0D80D5E3">
        <w:rPr>
          <w:rFonts w:asciiTheme="minorHAnsi" w:eastAsiaTheme="minorEastAsia" w:hAnsiTheme="minorHAnsi" w:cstheme="minorBidi"/>
          <w:b/>
          <w:bCs/>
          <w:color w:val="auto"/>
          <w:sz w:val="24"/>
          <w:szCs w:val="24"/>
        </w:rPr>
        <w:t>. Legal and Administrative Provisions</w:t>
      </w:r>
    </w:p>
    <w:p w14:paraId="1488F91F" w14:textId="0519F650" w:rsidR="00407AE3" w:rsidRDefault="005F25DB" w:rsidP="0D80D5E3">
      <w:pPr>
        <w:spacing w:before="240" w:after="240"/>
      </w:pPr>
      <w:r>
        <w:t>7</w:t>
      </w:r>
      <w:r w:rsidR="65580281" w:rsidRPr="0D80D5E3">
        <w:t>.1 All information provided by applicants must be accurate and truthful. Providing misleading or false information may result in immediate withdrawal of funding.</w:t>
      </w:r>
    </w:p>
    <w:p w14:paraId="41012B09" w14:textId="55B7B918" w:rsidR="00407AE3" w:rsidRDefault="005F25DB" w:rsidP="0D80D5E3">
      <w:pPr>
        <w:spacing w:before="240" w:after="240"/>
      </w:pPr>
      <w:r>
        <w:t>7</w:t>
      </w:r>
      <w:r w:rsidR="65580281" w:rsidRPr="0D80D5E3">
        <w:t>.2 Applicants are responsible for ensuring that all required insurances, safeguarding measures, and statutory obligations are in place prior to delivery of any funded activity.</w:t>
      </w:r>
    </w:p>
    <w:p w14:paraId="2E2FAF9A" w14:textId="20C1B0B3" w:rsidR="005F25DB" w:rsidRDefault="005F25DB" w:rsidP="0D80D5E3">
      <w:pPr>
        <w:spacing w:before="240" w:after="240"/>
      </w:pPr>
      <w:r>
        <w:lastRenderedPageBreak/>
        <w:t>7</w:t>
      </w:r>
      <w:r w:rsidR="65580281" w:rsidRPr="0D80D5E3">
        <w:t xml:space="preserve">.3 </w:t>
      </w:r>
      <w:r w:rsidR="001E7E10">
        <w:t>James Brown &amp; Sons</w:t>
      </w:r>
      <w:r w:rsidR="65580281" w:rsidRPr="0D80D5E3">
        <w:t xml:space="preserve"> </w:t>
      </w:r>
      <w:r w:rsidR="00A03081">
        <w:t xml:space="preserve">Funeral Directors </w:t>
      </w:r>
      <w:r w:rsidR="65580281" w:rsidRPr="0D80D5E3">
        <w:t>reserves the right to amend these Terms &amp; Conditions at any time. Updated versions will be published or provided as necessary.</w:t>
      </w:r>
    </w:p>
    <w:p w14:paraId="16C5A38B" w14:textId="76706ECC" w:rsidR="00407AE3" w:rsidRDefault="005F25DB" w:rsidP="0D80D5E3">
      <w:pPr>
        <w:spacing w:before="240" w:after="240"/>
      </w:pPr>
      <w:r>
        <w:t>7</w:t>
      </w:r>
      <w:r w:rsidR="65580281" w:rsidRPr="0D80D5E3">
        <w:t xml:space="preserve">.4 By </w:t>
      </w:r>
      <w:proofErr w:type="gramStart"/>
      <w:r w:rsidR="65580281" w:rsidRPr="0D80D5E3">
        <w:t>submitting an application</w:t>
      </w:r>
      <w:proofErr w:type="gramEnd"/>
      <w:r w:rsidR="65580281" w:rsidRPr="0D80D5E3">
        <w:t>, applicants confirm their acceptance of these Terms &amp; Conditions in full.</w:t>
      </w:r>
    </w:p>
    <w:p w14:paraId="5E5787A5" w14:textId="60190EAA" w:rsidR="00407AE3" w:rsidRDefault="00407AE3" w:rsidP="0D80D5E3"/>
    <w:sectPr w:rsidR="00407AE3">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4553D" w14:textId="77777777" w:rsidR="00342AF6" w:rsidRDefault="00342AF6" w:rsidP="00A03081">
      <w:pPr>
        <w:spacing w:after="0" w:line="240" w:lineRule="auto"/>
      </w:pPr>
      <w:r>
        <w:separator/>
      </w:r>
    </w:p>
  </w:endnote>
  <w:endnote w:type="continuationSeparator" w:id="0">
    <w:p w14:paraId="3F0F9EB4" w14:textId="77777777" w:rsidR="00342AF6" w:rsidRDefault="00342AF6" w:rsidP="00A0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7A35" w14:textId="781E003C" w:rsidR="00A03081" w:rsidRPr="00A03081" w:rsidRDefault="00A03081" w:rsidP="00A03081">
    <w:pPr>
      <w:pStyle w:val="Footer"/>
      <w:jc w:val="center"/>
    </w:pPr>
    <w:r w:rsidRPr="00A03081">
      <w:rPr>
        <w:noProof/>
      </w:rPr>
      <w:drawing>
        <wp:inline distT="0" distB="0" distL="0" distR="0" wp14:anchorId="001FB9ED" wp14:editId="792030DB">
          <wp:extent cx="3133090" cy="568580"/>
          <wp:effectExtent l="0" t="0" r="0" b="3175"/>
          <wp:docPr id="1466568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611" cy="580833"/>
                  </a:xfrm>
                  <a:prstGeom prst="rect">
                    <a:avLst/>
                  </a:prstGeom>
                  <a:noFill/>
                  <a:ln>
                    <a:noFill/>
                  </a:ln>
                </pic:spPr>
              </pic:pic>
            </a:graphicData>
          </a:graphic>
        </wp:inline>
      </w:drawing>
    </w:r>
  </w:p>
  <w:p w14:paraId="1EF024CE" w14:textId="400E3151" w:rsidR="00A03081" w:rsidRDefault="00A03081">
    <w:pPr>
      <w:pStyle w:val="Footer"/>
    </w:pPr>
  </w:p>
  <w:p w14:paraId="3CC62056" w14:textId="77777777" w:rsidR="00A03081" w:rsidRDefault="00A03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0236" w14:textId="77777777" w:rsidR="00342AF6" w:rsidRDefault="00342AF6" w:rsidP="00A03081">
      <w:pPr>
        <w:spacing w:after="0" w:line="240" w:lineRule="auto"/>
      </w:pPr>
      <w:r>
        <w:separator/>
      </w:r>
    </w:p>
  </w:footnote>
  <w:footnote w:type="continuationSeparator" w:id="0">
    <w:p w14:paraId="62717F70" w14:textId="77777777" w:rsidR="00342AF6" w:rsidRDefault="00342AF6" w:rsidP="00A03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1757" w14:textId="0BFF9E06" w:rsidR="00A03081" w:rsidRPr="00A03081" w:rsidRDefault="001E7E10" w:rsidP="00A03081">
    <w:pPr>
      <w:pStyle w:val="Header"/>
      <w:jc w:val="center"/>
    </w:pPr>
    <w:r>
      <w:rPr>
        <w:noProof/>
      </w:rPr>
      <w:drawing>
        <wp:inline distT="0" distB="0" distL="0" distR="0" wp14:anchorId="0E9E3DB6" wp14:editId="17B5963C">
          <wp:extent cx="2630170" cy="778328"/>
          <wp:effectExtent l="0" t="0" r="0" b="3175"/>
          <wp:docPr id="26094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877" cy="789486"/>
                  </a:xfrm>
                  <a:prstGeom prst="rect">
                    <a:avLst/>
                  </a:prstGeom>
                  <a:noFill/>
                  <a:ln>
                    <a:noFill/>
                  </a:ln>
                </pic:spPr>
              </pic:pic>
            </a:graphicData>
          </a:graphic>
        </wp:inline>
      </w:drawing>
    </w:r>
  </w:p>
  <w:p w14:paraId="067CD088" w14:textId="4827ED38" w:rsidR="00A03081" w:rsidRDefault="00A03081">
    <w:pPr>
      <w:pStyle w:val="Header"/>
    </w:pPr>
  </w:p>
  <w:p w14:paraId="735665B7" w14:textId="77777777" w:rsidR="00A03081" w:rsidRDefault="00A03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D200"/>
    <w:multiLevelType w:val="hybridMultilevel"/>
    <w:tmpl w:val="94BECF2C"/>
    <w:lvl w:ilvl="0" w:tplc="538CB47A">
      <w:start w:val="1"/>
      <w:numFmt w:val="bullet"/>
      <w:lvlText w:val=""/>
      <w:lvlJc w:val="left"/>
      <w:pPr>
        <w:ind w:left="720" w:hanging="360"/>
      </w:pPr>
      <w:rPr>
        <w:rFonts w:ascii="Symbol" w:hAnsi="Symbol" w:hint="default"/>
      </w:rPr>
    </w:lvl>
    <w:lvl w:ilvl="1" w:tplc="278C9160">
      <w:start w:val="1"/>
      <w:numFmt w:val="bullet"/>
      <w:lvlText w:val="o"/>
      <w:lvlJc w:val="left"/>
      <w:pPr>
        <w:ind w:left="1440" w:hanging="360"/>
      </w:pPr>
      <w:rPr>
        <w:rFonts w:ascii="Courier New" w:hAnsi="Courier New" w:hint="default"/>
      </w:rPr>
    </w:lvl>
    <w:lvl w:ilvl="2" w:tplc="83B42408">
      <w:start w:val="1"/>
      <w:numFmt w:val="bullet"/>
      <w:lvlText w:val=""/>
      <w:lvlJc w:val="left"/>
      <w:pPr>
        <w:ind w:left="2160" w:hanging="360"/>
      </w:pPr>
      <w:rPr>
        <w:rFonts w:ascii="Wingdings" w:hAnsi="Wingdings" w:hint="default"/>
      </w:rPr>
    </w:lvl>
    <w:lvl w:ilvl="3" w:tplc="8A04595E">
      <w:start w:val="1"/>
      <w:numFmt w:val="bullet"/>
      <w:lvlText w:val=""/>
      <w:lvlJc w:val="left"/>
      <w:pPr>
        <w:ind w:left="2880" w:hanging="360"/>
      </w:pPr>
      <w:rPr>
        <w:rFonts w:ascii="Symbol" w:hAnsi="Symbol" w:hint="default"/>
      </w:rPr>
    </w:lvl>
    <w:lvl w:ilvl="4" w:tplc="ED9AAF56">
      <w:start w:val="1"/>
      <w:numFmt w:val="bullet"/>
      <w:lvlText w:val="o"/>
      <w:lvlJc w:val="left"/>
      <w:pPr>
        <w:ind w:left="3600" w:hanging="360"/>
      </w:pPr>
      <w:rPr>
        <w:rFonts w:ascii="Courier New" w:hAnsi="Courier New" w:hint="default"/>
      </w:rPr>
    </w:lvl>
    <w:lvl w:ilvl="5" w:tplc="F8A0B5BC">
      <w:start w:val="1"/>
      <w:numFmt w:val="bullet"/>
      <w:lvlText w:val=""/>
      <w:lvlJc w:val="left"/>
      <w:pPr>
        <w:ind w:left="4320" w:hanging="360"/>
      </w:pPr>
      <w:rPr>
        <w:rFonts w:ascii="Wingdings" w:hAnsi="Wingdings" w:hint="default"/>
      </w:rPr>
    </w:lvl>
    <w:lvl w:ilvl="6" w:tplc="98DA7E8C">
      <w:start w:val="1"/>
      <w:numFmt w:val="bullet"/>
      <w:lvlText w:val=""/>
      <w:lvlJc w:val="left"/>
      <w:pPr>
        <w:ind w:left="5040" w:hanging="360"/>
      </w:pPr>
      <w:rPr>
        <w:rFonts w:ascii="Symbol" w:hAnsi="Symbol" w:hint="default"/>
      </w:rPr>
    </w:lvl>
    <w:lvl w:ilvl="7" w:tplc="54ACB89E">
      <w:start w:val="1"/>
      <w:numFmt w:val="bullet"/>
      <w:lvlText w:val="o"/>
      <w:lvlJc w:val="left"/>
      <w:pPr>
        <w:ind w:left="5760" w:hanging="360"/>
      </w:pPr>
      <w:rPr>
        <w:rFonts w:ascii="Courier New" w:hAnsi="Courier New" w:hint="default"/>
      </w:rPr>
    </w:lvl>
    <w:lvl w:ilvl="8" w:tplc="1E5AB974">
      <w:start w:val="1"/>
      <w:numFmt w:val="bullet"/>
      <w:lvlText w:val=""/>
      <w:lvlJc w:val="left"/>
      <w:pPr>
        <w:ind w:left="6480" w:hanging="360"/>
      </w:pPr>
      <w:rPr>
        <w:rFonts w:ascii="Wingdings" w:hAnsi="Wingdings" w:hint="default"/>
      </w:rPr>
    </w:lvl>
  </w:abstractNum>
  <w:abstractNum w:abstractNumId="1" w15:restartNumberingAfterBreak="0">
    <w:nsid w:val="2FC227DB"/>
    <w:multiLevelType w:val="hybridMultilevel"/>
    <w:tmpl w:val="9B744BDA"/>
    <w:lvl w:ilvl="0" w:tplc="3B1E3878">
      <w:start w:val="1"/>
      <w:numFmt w:val="bullet"/>
      <w:lvlText w:val=""/>
      <w:lvlJc w:val="left"/>
      <w:pPr>
        <w:ind w:left="720" w:hanging="360"/>
      </w:pPr>
      <w:rPr>
        <w:rFonts w:ascii="Symbol" w:hAnsi="Symbol" w:hint="default"/>
      </w:rPr>
    </w:lvl>
    <w:lvl w:ilvl="1" w:tplc="B4B04014">
      <w:start w:val="1"/>
      <w:numFmt w:val="bullet"/>
      <w:lvlText w:val="o"/>
      <w:lvlJc w:val="left"/>
      <w:pPr>
        <w:ind w:left="1440" w:hanging="360"/>
      </w:pPr>
      <w:rPr>
        <w:rFonts w:ascii="Courier New" w:hAnsi="Courier New" w:hint="default"/>
      </w:rPr>
    </w:lvl>
    <w:lvl w:ilvl="2" w:tplc="92E62CAE">
      <w:start w:val="1"/>
      <w:numFmt w:val="bullet"/>
      <w:lvlText w:val=""/>
      <w:lvlJc w:val="left"/>
      <w:pPr>
        <w:ind w:left="2160" w:hanging="360"/>
      </w:pPr>
      <w:rPr>
        <w:rFonts w:ascii="Wingdings" w:hAnsi="Wingdings" w:hint="default"/>
      </w:rPr>
    </w:lvl>
    <w:lvl w:ilvl="3" w:tplc="8F926118">
      <w:start w:val="1"/>
      <w:numFmt w:val="bullet"/>
      <w:lvlText w:val=""/>
      <w:lvlJc w:val="left"/>
      <w:pPr>
        <w:ind w:left="2880" w:hanging="360"/>
      </w:pPr>
      <w:rPr>
        <w:rFonts w:ascii="Symbol" w:hAnsi="Symbol" w:hint="default"/>
      </w:rPr>
    </w:lvl>
    <w:lvl w:ilvl="4" w:tplc="5E00AD84">
      <w:start w:val="1"/>
      <w:numFmt w:val="bullet"/>
      <w:lvlText w:val="o"/>
      <w:lvlJc w:val="left"/>
      <w:pPr>
        <w:ind w:left="3600" w:hanging="360"/>
      </w:pPr>
      <w:rPr>
        <w:rFonts w:ascii="Courier New" w:hAnsi="Courier New" w:hint="default"/>
      </w:rPr>
    </w:lvl>
    <w:lvl w:ilvl="5" w:tplc="1366B56A">
      <w:start w:val="1"/>
      <w:numFmt w:val="bullet"/>
      <w:lvlText w:val=""/>
      <w:lvlJc w:val="left"/>
      <w:pPr>
        <w:ind w:left="4320" w:hanging="360"/>
      </w:pPr>
      <w:rPr>
        <w:rFonts w:ascii="Wingdings" w:hAnsi="Wingdings" w:hint="default"/>
      </w:rPr>
    </w:lvl>
    <w:lvl w:ilvl="6" w:tplc="128A803C">
      <w:start w:val="1"/>
      <w:numFmt w:val="bullet"/>
      <w:lvlText w:val=""/>
      <w:lvlJc w:val="left"/>
      <w:pPr>
        <w:ind w:left="5040" w:hanging="360"/>
      </w:pPr>
      <w:rPr>
        <w:rFonts w:ascii="Symbol" w:hAnsi="Symbol" w:hint="default"/>
      </w:rPr>
    </w:lvl>
    <w:lvl w:ilvl="7" w:tplc="0A969360">
      <w:start w:val="1"/>
      <w:numFmt w:val="bullet"/>
      <w:lvlText w:val="o"/>
      <w:lvlJc w:val="left"/>
      <w:pPr>
        <w:ind w:left="5760" w:hanging="360"/>
      </w:pPr>
      <w:rPr>
        <w:rFonts w:ascii="Courier New" w:hAnsi="Courier New" w:hint="default"/>
      </w:rPr>
    </w:lvl>
    <w:lvl w:ilvl="8" w:tplc="73EEDB70">
      <w:start w:val="1"/>
      <w:numFmt w:val="bullet"/>
      <w:lvlText w:val=""/>
      <w:lvlJc w:val="left"/>
      <w:pPr>
        <w:ind w:left="6480" w:hanging="360"/>
      </w:pPr>
      <w:rPr>
        <w:rFonts w:ascii="Wingdings" w:hAnsi="Wingdings" w:hint="default"/>
      </w:rPr>
    </w:lvl>
  </w:abstractNum>
  <w:abstractNum w:abstractNumId="2" w15:restartNumberingAfterBreak="0">
    <w:nsid w:val="41080B8A"/>
    <w:multiLevelType w:val="multilevel"/>
    <w:tmpl w:val="DDFE09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FC133BA"/>
    <w:multiLevelType w:val="hybridMultilevel"/>
    <w:tmpl w:val="C7602066"/>
    <w:lvl w:ilvl="0" w:tplc="708065EE">
      <w:start w:val="1"/>
      <w:numFmt w:val="bullet"/>
      <w:lvlText w:val=""/>
      <w:lvlJc w:val="left"/>
      <w:pPr>
        <w:ind w:left="720" w:hanging="360"/>
      </w:pPr>
      <w:rPr>
        <w:rFonts w:ascii="Symbol" w:hAnsi="Symbol" w:hint="default"/>
      </w:rPr>
    </w:lvl>
    <w:lvl w:ilvl="1" w:tplc="DBFA982C">
      <w:start w:val="1"/>
      <w:numFmt w:val="bullet"/>
      <w:lvlText w:val="o"/>
      <w:lvlJc w:val="left"/>
      <w:pPr>
        <w:ind w:left="1440" w:hanging="360"/>
      </w:pPr>
      <w:rPr>
        <w:rFonts w:ascii="Courier New" w:hAnsi="Courier New" w:hint="default"/>
      </w:rPr>
    </w:lvl>
    <w:lvl w:ilvl="2" w:tplc="73F4EAE2">
      <w:start w:val="1"/>
      <w:numFmt w:val="bullet"/>
      <w:lvlText w:val=""/>
      <w:lvlJc w:val="left"/>
      <w:pPr>
        <w:ind w:left="2160" w:hanging="360"/>
      </w:pPr>
      <w:rPr>
        <w:rFonts w:ascii="Wingdings" w:hAnsi="Wingdings" w:hint="default"/>
      </w:rPr>
    </w:lvl>
    <w:lvl w:ilvl="3" w:tplc="7D6AD5FC">
      <w:start w:val="1"/>
      <w:numFmt w:val="bullet"/>
      <w:lvlText w:val=""/>
      <w:lvlJc w:val="left"/>
      <w:pPr>
        <w:ind w:left="2880" w:hanging="360"/>
      </w:pPr>
      <w:rPr>
        <w:rFonts w:ascii="Symbol" w:hAnsi="Symbol" w:hint="default"/>
      </w:rPr>
    </w:lvl>
    <w:lvl w:ilvl="4" w:tplc="9B28DCCA">
      <w:start w:val="1"/>
      <w:numFmt w:val="bullet"/>
      <w:lvlText w:val="o"/>
      <w:lvlJc w:val="left"/>
      <w:pPr>
        <w:ind w:left="3600" w:hanging="360"/>
      </w:pPr>
      <w:rPr>
        <w:rFonts w:ascii="Courier New" w:hAnsi="Courier New" w:hint="default"/>
      </w:rPr>
    </w:lvl>
    <w:lvl w:ilvl="5" w:tplc="D5DC0792">
      <w:start w:val="1"/>
      <w:numFmt w:val="bullet"/>
      <w:lvlText w:val=""/>
      <w:lvlJc w:val="left"/>
      <w:pPr>
        <w:ind w:left="4320" w:hanging="360"/>
      </w:pPr>
      <w:rPr>
        <w:rFonts w:ascii="Wingdings" w:hAnsi="Wingdings" w:hint="default"/>
      </w:rPr>
    </w:lvl>
    <w:lvl w:ilvl="6" w:tplc="AEC8C26C">
      <w:start w:val="1"/>
      <w:numFmt w:val="bullet"/>
      <w:lvlText w:val=""/>
      <w:lvlJc w:val="left"/>
      <w:pPr>
        <w:ind w:left="5040" w:hanging="360"/>
      </w:pPr>
      <w:rPr>
        <w:rFonts w:ascii="Symbol" w:hAnsi="Symbol" w:hint="default"/>
      </w:rPr>
    </w:lvl>
    <w:lvl w:ilvl="7" w:tplc="468CC21C">
      <w:start w:val="1"/>
      <w:numFmt w:val="bullet"/>
      <w:lvlText w:val="o"/>
      <w:lvlJc w:val="left"/>
      <w:pPr>
        <w:ind w:left="5760" w:hanging="360"/>
      </w:pPr>
      <w:rPr>
        <w:rFonts w:ascii="Courier New" w:hAnsi="Courier New" w:hint="default"/>
      </w:rPr>
    </w:lvl>
    <w:lvl w:ilvl="8" w:tplc="2B00030C">
      <w:start w:val="1"/>
      <w:numFmt w:val="bullet"/>
      <w:lvlText w:val=""/>
      <w:lvlJc w:val="left"/>
      <w:pPr>
        <w:ind w:left="6480" w:hanging="360"/>
      </w:pPr>
      <w:rPr>
        <w:rFonts w:ascii="Wingdings" w:hAnsi="Wingdings" w:hint="default"/>
      </w:rPr>
    </w:lvl>
  </w:abstractNum>
  <w:abstractNum w:abstractNumId="4" w15:restartNumberingAfterBreak="0">
    <w:nsid w:val="7B952146"/>
    <w:multiLevelType w:val="hybridMultilevel"/>
    <w:tmpl w:val="8EA0FF36"/>
    <w:lvl w:ilvl="0" w:tplc="72D843AC">
      <w:start w:val="1"/>
      <w:numFmt w:val="bullet"/>
      <w:lvlText w:val=""/>
      <w:lvlJc w:val="left"/>
      <w:pPr>
        <w:ind w:left="720" w:hanging="360"/>
      </w:pPr>
      <w:rPr>
        <w:rFonts w:ascii="Symbol" w:hAnsi="Symbol" w:hint="default"/>
      </w:rPr>
    </w:lvl>
    <w:lvl w:ilvl="1" w:tplc="83F611BA">
      <w:start w:val="1"/>
      <w:numFmt w:val="bullet"/>
      <w:lvlText w:val="o"/>
      <w:lvlJc w:val="left"/>
      <w:pPr>
        <w:ind w:left="1440" w:hanging="360"/>
      </w:pPr>
      <w:rPr>
        <w:rFonts w:ascii="Courier New" w:hAnsi="Courier New" w:hint="default"/>
      </w:rPr>
    </w:lvl>
    <w:lvl w:ilvl="2" w:tplc="80326DB4">
      <w:start w:val="1"/>
      <w:numFmt w:val="bullet"/>
      <w:lvlText w:val=""/>
      <w:lvlJc w:val="left"/>
      <w:pPr>
        <w:ind w:left="2160" w:hanging="360"/>
      </w:pPr>
      <w:rPr>
        <w:rFonts w:ascii="Wingdings" w:hAnsi="Wingdings" w:hint="default"/>
      </w:rPr>
    </w:lvl>
    <w:lvl w:ilvl="3" w:tplc="00B20F56">
      <w:start w:val="1"/>
      <w:numFmt w:val="bullet"/>
      <w:lvlText w:val=""/>
      <w:lvlJc w:val="left"/>
      <w:pPr>
        <w:ind w:left="2880" w:hanging="360"/>
      </w:pPr>
      <w:rPr>
        <w:rFonts w:ascii="Symbol" w:hAnsi="Symbol" w:hint="default"/>
      </w:rPr>
    </w:lvl>
    <w:lvl w:ilvl="4" w:tplc="99C22AE4">
      <w:start w:val="1"/>
      <w:numFmt w:val="bullet"/>
      <w:lvlText w:val="o"/>
      <w:lvlJc w:val="left"/>
      <w:pPr>
        <w:ind w:left="3600" w:hanging="360"/>
      </w:pPr>
      <w:rPr>
        <w:rFonts w:ascii="Courier New" w:hAnsi="Courier New" w:hint="default"/>
      </w:rPr>
    </w:lvl>
    <w:lvl w:ilvl="5" w:tplc="CAE2CECC">
      <w:start w:val="1"/>
      <w:numFmt w:val="bullet"/>
      <w:lvlText w:val=""/>
      <w:lvlJc w:val="left"/>
      <w:pPr>
        <w:ind w:left="4320" w:hanging="360"/>
      </w:pPr>
      <w:rPr>
        <w:rFonts w:ascii="Wingdings" w:hAnsi="Wingdings" w:hint="default"/>
      </w:rPr>
    </w:lvl>
    <w:lvl w:ilvl="6" w:tplc="FE78D0B8">
      <w:start w:val="1"/>
      <w:numFmt w:val="bullet"/>
      <w:lvlText w:val=""/>
      <w:lvlJc w:val="left"/>
      <w:pPr>
        <w:ind w:left="5040" w:hanging="360"/>
      </w:pPr>
      <w:rPr>
        <w:rFonts w:ascii="Symbol" w:hAnsi="Symbol" w:hint="default"/>
      </w:rPr>
    </w:lvl>
    <w:lvl w:ilvl="7" w:tplc="DEF4C392">
      <w:start w:val="1"/>
      <w:numFmt w:val="bullet"/>
      <w:lvlText w:val="o"/>
      <w:lvlJc w:val="left"/>
      <w:pPr>
        <w:ind w:left="5760" w:hanging="360"/>
      </w:pPr>
      <w:rPr>
        <w:rFonts w:ascii="Courier New" w:hAnsi="Courier New" w:hint="default"/>
      </w:rPr>
    </w:lvl>
    <w:lvl w:ilvl="8" w:tplc="5A748AA0">
      <w:start w:val="1"/>
      <w:numFmt w:val="bullet"/>
      <w:lvlText w:val=""/>
      <w:lvlJc w:val="left"/>
      <w:pPr>
        <w:ind w:left="6480" w:hanging="360"/>
      </w:pPr>
      <w:rPr>
        <w:rFonts w:ascii="Wingdings" w:hAnsi="Wingdings" w:hint="default"/>
      </w:rPr>
    </w:lvl>
  </w:abstractNum>
  <w:num w:numId="1" w16cid:durableId="1333023735">
    <w:abstractNumId w:val="4"/>
  </w:num>
  <w:num w:numId="2" w16cid:durableId="1465079353">
    <w:abstractNumId w:val="1"/>
  </w:num>
  <w:num w:numId="3" w16cid:durableId="1820416890">
    <w:abstractNumId w:val="0"/>
  </w:num>
  <w:num w:numId="4" w16cid:durableId="196234866">
    <w:abstractNumId w:val="3"/>
  </w:num>
  <w:num w:numId="5" w16cid:durableId="311907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FFCCF1"/>
    <w:rsid w:val="00100067"/>
    <w:rsid w:val="001E1EB5"/>
    <w:rsid w:val="001E7E10"/>
    <w:rsid w:val="0021292E"/>
    <w:rsid w:val="00316B58"/>
    <w:rsid w:val="00342AF6"/>
    <w:rsid w:val="00407AE3"/>
    <w:rsid w:val="005F25DB"/>
    <w:rsid w:val="00673D5F"/>
    <w:rsid w:val="006C1037"/>
    <w:rsid w:val="00756D55"/>
    <w:rsid w:val="009816CF"/>
    <w:rsid w:val="00A03081"/>
    <w:rsid w:val="00A17715"/>
    <w:rsid w:val="00A47F56"/>
    <w:rsid w:val="00B5418F"/>
    <w:rsid w:val="00B54B89"/>
    <w:rsid w:val="00CA6BA4"/>
    <w:rsid w:val="00CD2278"/>
    <w:rsid w:val="0466D1AE"/>
    <w:rsid w:val="0D80D5E3"/>
    <w:rsid w:val="0EDC7BFC"/>
    <w:rsid w:val="128B870D"/>
    <w:rsid w:val="1AF606A6"/>
    <w:rsid w:val="1DFFCCF1"/>
    <w:rsid w:val="23223EAA"/>
    <w:rsid w:val="2AD422EA"/>
    <w:rsid w:val="2E61F87A"/>
    <w:rsid w:val="34EF428C"/>
    <w:rsid w:val="3B786013"/>
    <w:rsid w:val="3F7061E6"/>
    <w:rsid w:val="408F2A37"/>
    <w:rsid w:val="42DA3CC4"/>
    <w:rsid w:val="435A4CA9"/>
    <w:rsid w:val="441FBE05"/>
    <w:rsid w:val="4688C4A7"/>
    <w:rsid w:val="4AC87FB2"/>
    <w:rsid w:val="643369CA"/>
    <w:rsid w:val="65580281"/>
    <w:rsid w:val="676065BE"/>
    <w:rsid w:val="691B9DAB"/>
    <w:rsid w:val="6B245CB6"/>
    <w:rsid w:val="6F54322E"/>
    <w:rsid w:val="7060FDB4"/>
    <w:rsid w:val="74DF3EEB"/>
    <w:rsid w:val="7A17A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4A7E"/>
  <w15:chartTrackingRefBased/>
  <w15:docId w15:val="{FD5C4543-22E7-41D2-AAB8-405F0BE6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D80D5E3"/>
    <w:pPr>
      <w:ind w:left="720"/>
      <w:contextualSpacing/>
    </w:pPr>
  </w:style>
  <w:style w:type="paragraph" w:styleId="Header">
    <w:name w:val="header"/>
    <w:basedOn w:val="Normal"/>
    <w:link w:val="HeaderChar"/>
    <w:uiPriority w:val="99"/>
    <w:unhideWhenUsed/>
    <w:rsid w:val="00A03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081"/>
  </w:style>
  <w:style w:type="paragraph" w:styleId="Footer">
    <w:name w:val="footer"/>
    <w:basedOn w:val="Normal"/>
    <w:link w:val="FooterChar"/>
    <w:uiPriority w:val="99"/>
    <w:unhideWhenUsed/>
    <w:rsid w:val="00A03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753</Words>
  <Characters>4530</Characters>
  <Application>Microsoft Office Word</Application>
  <DocSecurity>0</DocSecurity>
  <Lines>82</Lines>
  <Paragraphs>53</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 Association of Funeral Directors Enquires</dc:creator>
  <cp:keywords/>
  <dc:description/>
  <cp:lastModifiedBy>Beverley Brown</cp:lastModifiedBy>
  <cp:revision>4</cp:revision>
  <dcterms:created xsi:type="dcterms:W3CDTF">2026-07-20T11:48:00Z</dcterms:created>
  <dcterms:modified xsi:type="dcterms:W3CDTF">2026-07-20T11:52:00Z</dcterms:modified>
</cp:coreProperties>
</file>